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F4" w:rsidRDefault="00B246F4" w:rsidP="00B246F4">
      <w:pPr>
        <w:pStyle w:val="CABEZA"/>
        <w:rPr>
          <w:bCs/>
          <w:szCs w:val="18"/>
          <w:lang w:val="es-MX"/>
        </w:rPr>
      </w:pPr>
      <w:bookmarkStart w:id="0" w:name="_Hlk536593974"/>
      <w:r w:rsidRPr="00F63670">
        <w:rPr>
          <w:rFonts w:cs="Times New Roman"/>
        </w:rPr>
        <w:t>SECRETARIA DE ECONOMIA</w:t>
      </w:r>
    </w:p>
    <w:bookmarkEnd w:id="0"/>
    <w:p w:rsidR="00B246F4" w:rsidRDefault="00B246F4"/>
    <w:p w:rsidR="00B246F4" w:rsidRPr="00F63670" w:rsidRDefault="00B246F4" w:rsidP="00B246F4">
      <w:pPr>
        <w:pStyle w:val="Titulo1"/>
        <w:rPr>
          <w:rFonts w:cs="Times New Roman"/>
        </w:rPr>
      </w:pPr>
      <w:bookmarkStart w:id="1" w:name="_GoBack"/>
      <w:r w:rsidRPr="00F63670">
        <w:rPr>
          <w:rFonts w:cs="Times New Roman"/>
        </w:rPr>
        <w:t>DECLARATORIA de vigencia de la Norma Mexicana NMX-J-269-4-ANCE-2018.</w:t>
      </w:r>
    </w:p>
    <w:bookmarkEnd w:id="1"/>
    <w:p w:rsidR="00B246F4" w:rsidRPr="00F63670" w:rsidRDefault="00B246F4" w:rsidP="00B246F4">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B246F4" w:rsidRPr="00060E44" w:rsidRDefault="00B246F4" w:rsidP="00B246F4">
      <w:pPr>
        <w:pStyle w:val="Texto"/>
        <w:spacing w:line="320" w:lineRule="exact"/>
        <w:rPr>
          <w:bCs/>
          <w:sz w:val="16"/>
          <w:szCs w:val="18"/>
          <w:lang w:val="es-MX"/>
        </w:rPr>
      </w:pPr>
      <w:r w:rsidRPr="00060E44">
        <w:rPr>
          <w:bCs/>
          <w:sz w:val="16"/>
          <w:szCs w:val="18"/>
          <w:lang w:val="es-MX"/>
        </w:rPr>
        <w:t>DECLARATORIA DE VIGENCIA DE LA NORMA MEXICANA NMX-J-269-4-ANCE-2018, “CORTACIRCUITOS-FUSIBLES PARA BAJA TENSIÓN</w:t>
      </w:r>
      <w:r>
        <w:rPr>
          <w:bCs/>
          <w:sz w:val="16"/>
          <w:szCs w:val="18"/>
          <w:lang w:val="es-MX"/>
        </w:rPr>
        <w:t>-</w:t>
      </w:r>
      <w:r w:rsidRPr="00060E44">
        <w:rPr>
          <w:bCs/>
          <w:sz w:val="16"/>
          <w:szCs w:val="18"/>
          <w:lang w:val="es-MX"/>
        </w:rPr>
        <w:t>PARTE 4: REQUISITOS COMPLEMENTARIOS PARA FUSIBLES DESTINADOS PARA LA PROTECCIÓN DE DISPOSITIVOS SEMICONDUCTORES”</w:t>
      </w:r>
      <w:r>
        <w:rPr>
          <w:bCs/>
          <w:sz w:val="16"/>
          <w:szCs w:val="18"/>
          <w:lang w:val="es-MX"/>
        </w:rPr>
        <w:t>.</w:t>
      </w:r>
    </w:p>
    <w:p w:rsidR="00B246F4" w:rsidRPr="00187A8D" w:rsidRDefault="00B246F4" w:rsidP="00B246F4">
      <w:pPr>
        <w:pStyle w:val="Texto"/>
        <w:spacing w:line="320" w:lineRule="exact"/>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B246F4" w:rsidRPr="00187A8D" w:rsidRDefault="00B246F4" w:rsidP="00B246F4">
      <w:pPr>
        <w:pStyle w:val="Texto"/>
        <w:spacing w:line="320" w:lineRule="exact"/>
        <w:rPr>
          <w:szCs w:val="18"/>
        </w:rPr>
      </w:pPr>
      <w:r w:rsidRPr="00187A8D">
        <w:rPr>
          <w:bCs/>
          <w:szCs w:val="18"/>
          <w:lang w:val="es-MX"/>
        </w:rPr>
        <w:t xml:space="preserve">La presente Norma Mexicana </w:t>
      </w:r>
      <w:r w:rsidRPr="00187A8D">
        <w:rPr>
          <w:szCs w:val="18"/>
          <w:lang w:val="es-MX"/>
        </w:rPr>
        <w:t xml:space="preserve">NMX-J-269-4-ANCE-2018 </w:t>
      </w:r>
      <w:r w:rsidRPr="00187A8D">
        <w:rPr>
          <w:bCs/>
          <w:szCs w:val="18"/>
          <w:lang w:val="es-MX"/>
        </w:rPr>
        <w:t xml:space="preserve">entrará en vigor 60 días naturales contados a partir del día natural inmediato siguiente de la publicación de esta Declaratoria de Vigencia en el Diario Oficial de la Federación. </w:t>
      </w:r>
      <w:r w:rsidRPr="00187A8D">
        <w:rPr>
          <w:szCs w:val="18"/>
        </w:rPr>
        <w:t>SINEC-20180906121143912</w:t>
      </w:r>
      <w:r>
        <w:rPr>
          <w:szCs w:val="18"/>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766"/>
        <w:gridCol w:w="5946"/>
      </w:tblGrid>
      <w:tr w:rsidR="00B246F4" w:rsidRPr="00060E44" w:rsidTr="00C56A1A">
        <w:trPr>
          <w:trHeight w:val="254"/>
        </w:trPr>
        <w:tc>
          <w:tcPr>
            <w:tcW w:w="2766" w:type="dxa"/>
            <w:shd w:val="pct10" w:color="auto" w:fill="auto"/>
            <w:vAlign w:val="center"/>
          </w:tcPr>
          <w:p w:rsidR="00B246F4" w:rsidRPr="00060E44" w:rsidRDefault="00B246F4" w:rsidP="00C56A1A">
            <w:pPr>
              <w:pStyle w:val="Texto"/>
              <w:spacing w:line="320" w:lineRule="exact"/>
              <w:ind w:firstLine="0"/>
              <w:jc w:val="center"/>
              <w:rPr>
                <w:b/>
                <w:sz w:val="16"/>
                <w:szCs w:val="18"/>
                <w:lang w:val="es-MX"/>
              </w:rPr>
            </w:pPr>
            <w:r w:rsidRPr="00060E44">
              <w:rPr>
                <w:b/>
                <w:sz w:val="16"/>
                <w:szCs w:val="18"/>
                <w:lang w:val="es-MX"/>
              </w:rPr>
              <w:t>CLAVE O CÓDIGO</w:t>
            </w:r>
          </w:p>
        </w:tc>
        <w:tc>
          <w:tcPr>
            <w:tcW w:w="5946" w:type="dxa"/>
            <w:shd w:val="pct10" w:color="auto" w:fill="auto"/>
            <w:vAlign w:val="center"/>
          </w:tcPr>
          <w:p w:rsidR="00B246F4" w:rsidRPr="00060E44" w:rsidRDefault="00B246F4" w:rsidP="00C56A1A">
            <w:pPr>
              <w:pStyle w:val="Texto"/>
              <w:spacing w:line="320" w:lineRule="exact"/>
              <w:ind w:firstLine="0"/>
              <w:jc w:val="center"/>
              <w:rPr>
                <w:b/>
                <w:sz w:val="16"/>
                <w:szCs w:val="18"/>
                <w:lang w:val="es-MX"/>
              </w:rPr>
            </w:pPr>
            <w:r w:rsidRPr="00060E44">
              <w:rPr>
                <w:b/>
                <w:sz w:val="16"/>
                <w:szCs w:val="18"/>
                <w:lang w:val="es-MX"/>
              </w:rPr>
              <w:t>TÍTULO DE LA NORMA MEXICANA</w:t>
            </w:r>
          </w:p>
        </w:tc>
      </w:tr>
      <w:tr w:rsidR="00B246F4" w:rsidRPr="00187A8D" w:rsidTr="00C56A1A">
        <w:trPr>
          <w:trHeight w:val="662"/>
        </w:trPr>
        <w:tc>
          <w:tcPr>
            <w:tcW w:w="2766" w:type="dxa"/>
            <w:vAlign w:val="center"/>
          </w:tcPr>
          <w:p w:rsidR="00B246F4" w:rsidRPr="00187A8D" w:rsidRDefault="00B246F4" w:rsidP="00C56A1A">
            <w:pPr>
              <w:pStyle w:val="Texto"/>
              <w:spacing w:line="320" w:lineRule="exact"/>
              <w:ind w:firstLine="0"/>
              <w:jc w:val="center"/>
              <w:rPr>
                <w:b/>
                <w:szCs w:val="18"/>
                <w:highlight w:val="yellow"/>
                <w:lang w:val="es-MX"/>
              </w:rPr>
            </w:pPr>
            <w:r w:rsidRPr="00060E44">
              <w:rPr>
                <w:b/>
                <w:sz w:val="16"/>
                <w:szCs w:val="18"/>
                <w:lang w:val="es-MX"/>
              </w:rPr>
              <w:t>NMX-J-269-4-ANCE-2018</w:t>
            </w:r>
          </w:p>
        </w:tc>
        <w:tc>
          <w:tcPr>
            <w:tcW w:w="5946" w:type="dxa"/>
          </w:tcPr>
          <w:p w:rsidR="00B246F4" w:rsidRPr="00187A8D" w:rsidRDefault="00B246F4" w:rsidP="00C56A1A">
            <w:pPr>
              <w:pStyle w:val="Texto"/>
              <w:spacing w:line="320" w:lineRule="exact"/>
              <w:ind w:firstLine="0"/>
              <w:rPr>
                <w:szCs w:val="18"/>
                <w:highlight w:val="yellow"/>
              </w:rPr>
            </w:pPr>
            <w:r w:rsidRPr="00187A8D">
              <w:rPr>
                <w:bCs/>
                <w:szCs w:val="18"/>
                <w:lang w:val="es-MX"/>
              </w:rPr>
              <w:t>Cortacircuitos-fusibles para baja tensión</w:t>
            </w:r>
            <w:r>
              <w:rPr>
                <w:bCs/>
                <w:szCs w:val="18"/>
                <w:lang w:val="es-MX"/>
              </w:rPr>
              <w:t>-</w:t>
            </w:r>
            <w:r w:rsidRPr="00187A8D">
              <w:rPr>
                <w:bCs/>
                <w:szCs w:val="18"/>
                <w:lang w:val="es-MX"/>
              </w:rPr>
              <w:t>Parte 4: Requisitos complementarios para fusibles destinados para la protección de dispositivos semiconductores</w:t>
            </w:r>
          </w:p>
        </w:tc>
      </w:tr>
      <w:tr w:rsidR="00B246F4" w:rsidRPr="00187A8D" w:rsidTr="00C56A1A">
        <w:trPr>
          <w:trHeight w:val="889"/>
        </w:trPr>
        <w:tc>
          <w:tcPr>
            <w:tcW w:w="8712" w:type="dxa"/>
            <w:gridSpan w:val="2"/>
            <w:vAlign w:val="center"/>
          </w:tcPr>
          <w:p w:rsidR="00B246F4" w:rsidRPr="00187A8D" w:rsidRDefault="00B246F4" w:rsidP="00C56A1A">
            <w:pPr>
              <w:pStyle w:val="Texto"/>
              <w:spacing w:line="320" w:lineRule="exact"/>
              <w:ind w:firstLine="0"/>
              <w:jc w:val="center"/>
              <w:rPr>
                <w:b/>
                <w:szCs w:val="18"/>
              </w:rPr>
            </w:pPr>
            <w:r w:rsidRPr="00187A8D">
              <w:rPr>
                <w:b/>
                <w:szCs w:val="18"/>
              </w:rPr>
              <w:t>Objetivo y campo de aplicación</w:t>
            </w:r>
          </w:p>
          <w:p w:rsidR="00B246F4" w:rsidRPr="00187A8D" w:rsidRDefault="00B246F4" w:rsidP="00C56A1A">
            <w:pPr>
              <w:pStyle w:val="Texto"/>
              <w:spacing w:line="320" w:lineRule="exact"/>
              <w:ind w:firstLine="0"/>
              <w:rPr>
                <w:szCs w:val="18"/>
              </w:rPr>
            </w:pPr>
            <w:r w:rsidRPr="00187A8D">
              <w:rPr>
                <w:szCs w:val="18"/>
              </w:rPr>
              <w:t xml:space="preserve">Proporciona requisitos complementarios que aplican a fusibles que se utilizan en equipos que contienen dispositivos semiconductores para circuitos de tensiones nominales hasta 1 000 V </w:t>
            </w:r>
            <w:proofErr w:type="spellStart"/>
            <w:r w:rsidRPr="00187A8D">
              <w:rPr>
                <w:szCs w:val="18"/>
              </w:rPr>
              <w:t>c.a.</w:t>
            </w:r>
            <w:proofErr w:type="spellEnd"/>
            <w:r w:rsidRPr="00187A8D">
              <w:rPr>
                <w:szCs w:val="18"/>
              </w:rPr>
              <w:t xml:space="preserve"> o 1 500 V </w:t>
            </w:r>
            <w:proofErr w:type="spellStart"/>
            <w:r w:rsidRPr="00187A8D">
              <w:rPr>
                <w:szCs w:val="18"/>
              </w:rPr>
              <w:t>c.d</w:t>
            </w:r>
            <w:proofErr w:type="spellEnd"/>
            <w:r w:rsidRPr="00187A8D">
              <w:rPr>
                <w:szCs w:val="18"/>
              </w:rPr>
              <w:t>. y también, en la medida en que sean aplicables, para circuitos con tensiones nominales mayores.</w:t>
            </w:r>
          </w:p>
          <w:p w:rsidR="00B246F4" w:rsidRPr="00187A8D" w:rsidRDefault="00B246F4" w:rsidP="00C56A1A">
            <w:pPr>
              <w:pStyle w:val="Texto"/>
              <w:spacing w:line="320" w:lineRule="exact"/>
              <w:ind w:firstLine="0"/>
              <w:rPr>
                <w:szCs w:val="18"/>
              </w:rPr>
            </w:pPr>
            <w:r w:rsidRPr="00187A8D">
              <w:rPr>
                <w:szCs w:val="18"/>
              </w:rPr>
              <w:t>El objetivo de estos requisitos complementarios es establecer las características de los fusibles semiconductores de manera que puedan reemplazarse por otros fusibles que tengan las mismas características, siempre que sus dimensiones sean idénticas. Para ello, esta norma se refiere</w:t>
            </w:r>
            <w:r>
              <w:rPr>
                <w:szCs w:val="18"/>
              </w:rPr>
              <w:t xml:space="preserve"> </w:t>
            </w:r>
            <w:r w:rsidRPr="00187A8D">
              <w:rPr>
                <w:szCs w:val="18"/>
              </w:rPr>
              <w:t>en particular a:</w:t>
            </w:r>
          </w:p>
          <w:p w:rsidR="00B246F4" w:rsidRPr="00187A8D" w:rsidRDefault="00B246F4" w:rsidP="00C56A1A">
            <w:pPr>
              <w:pStyle w:val="Texto"/>
              <w:tabs>
                <w:tab w:val="left" w:pos="396"/>
              </w:tabs>
              <w:spacing w:line="320" w:lineRule="exact"/>
              <w:ind w:left="396" w:hanging="396"/>
              <w:rPr>
                <w:szCs w:val="18"/>
              </w:rPr>
            </w:pPr>
            <w:r w:rsidRPr="00187A8D">
              <w:rPr>
                <w:szCs w:val="18"/>
              </w:rPr>
              <w:lastRenderedPageBreak/>
              <w:t>a)</w:t>
            </w:r>
            <w:r w:rsidRPr="00187A8D">
              <w:rPr>
                <w:szCs w:val="18"/>
              </w:rPr>
              <w:tab/>
              <w:t>Las características de CCF siguientes:</w:t>
            </w:r>
          </w:p>
          <w:p w:rsidR="00B246F4" w:rsidRPr="00187A8D" w:rsidRDefault="00B246F4" w:rsidP="00C56A1A">
            <w:pPr>
              <w:pStyle w:val="Texto"/>
              <w:tabs>
                <w:tab w:val="left" w:pos="396"/>
              </w:tabs>
              <w:spacing w:line="320" w:lineRule="exact"/>
              <w:ind w:left="396" w:hanging="396"/>
              <w:rPr>
                <w:szCs w:val="18"/>
              </w:rPr>
            </w:pPr>
            <w:r w:rsidRPr="00187A8D">
              <w:rPr>
                <w:szCs w:val="18"/>
              </w:rPr>
              <w:t>1)</w:t>
            </w:r>
            <w:r w:rsidRPr="00187A8D">
              <w:rPr>
                <w:szCs w:val="18"/>
              </w:rPr>
              <w:tab/>
              <w:t>Sus valores asignados;</w:t>
            </w:r>
          </w:p>
          <w:p w:rsidR="00B246F4" w:rsidRPr="00187A8D" w:rsidRDefault="00B246F4" w:rsidP="00C56A1A">
            <w:pPr>
              <w:pStyle w:val="Texto"/>
              <w:tabs>
                <w:tab w:val="left" w:pos="396"/>
              </w:tabs>
              <w:spacing w:line="320" w:lineRule="exact"/>
              <w:ind w:left="396" w:hanging="396"/>
              <w:rPr>
                <w:szCs w:val="18"/>
              </w:rPr>
            </w:pPr>
            <w:r w:rsidRPr="00187A8D">
              <w:rPr>
                <w:szCs w:val="18"/>
              </w:rPr>
              <w:t>2)</w:t>
            </w:r>
            <w:r w:rsidRPr="00187A8D">
              <w:rPr>
                <w:szCs w:val="18"/>
              </w:rPr>
              <w:tab/>
              <w:t>Su elevación de temperatura en servicio normal;</w:t>
            </w:r>
          </w:p>
          <w:p w:rsidR="00B246F4" w:rsidRPr="00187A8D" w:rsidRDefault="00B246F4" w:rsidP="00C56A1A">
            <w:pPr>
              <w:pStyle w:val="Texto"/>
              <w:tabs>
                <w:tab w:val="left" w:pos="396"/>
              </w:tabs>
              <w:spacing w:line="320" w:lineRule="exact"/>
              <w:ind w:left="396" w:hanging="396"/>
              <w:rPr>
                <w:szCs w:val="18"/>
              </w:rPr>
            </w:pPr>
            <w:r w:rsidRPr="00187A8D">
              <w:rPr>
                <w:szCs w:val="18"/>
              </w:rPr>
              <w:t xml:space="preserve">3) </w:t>
            </w:r>
            <w:r w:rsidRPr="00187A8D">
              <w:rPr>
                <w:szCs w:val="18"/>
              </w:rPr>
              <w:tab/>
              <w:t>Su disipación de potencia;</w:t>
            </w:r>
          </w:p>
          <w:p w:rsidR="00B246F4" w:rsidRPr="00187A8D" w:rsidRDefault="00B246F4" w:rsidP="00C56A1A">
            <w:pPr>
              <w:pStyle w:val="Texto"/>
              <w:tabs>
                <w:tab w:val="left" w:pos="396"/>
              </w:tabs>
              <w:spacing w:line="320" w:lineRule="exact"/>
              <w:ind w:left="396" w:hanging="396"/>
              <w:rPr>
                <w:szCs w:val="18"/>
              </w:rPr>
            </w:pPr>
            <w:r w:rsidRPr="00187A8D">
              <w:rPr>
                <w:szCs w:val="18"/>
              </w:rPr>
              <w:t>4)</w:t>
            </w:r>
            <w:r w:rsidRPr="00187A8D">
              <w:rPr>
                <w:szCs w:val="18"/>
              </w:rPr>
              <w:tab/>
              <w:t>Sus características de corriente-tiempo;</w:t>
            </w:r>
          </w:p>
          <w:p w:rsidR="00B246F4" w:rsidRPr="00187A8D" w:rsidRDefault="00B246F4" w:rsidP="00C56A1A">
            <w:pPr>
              <w:pStyle w:val="Texto"/>
              <w:tabs>
                <w:tab w:val="left" w:pos="396"/>
              </w:tabs>
              <w:spacing w:line="320" w:lineRule="exact"/>
              <w:ind w:left="396" w:hanging="396"/>
              <w:rPr>
                <w:szCs w:val="18"/>
              </w:rPr>
            </w:pPr>
            <w:r w:rsidRPr="00187A8D">
              <w:rPr>
                <w:szCs w:val="18"/>
              </w:rPr>
              <w:t>5)</w:t>
            </w:r>
            <w:r w:rsidRPr="00187A8D">
              <w:rPr>
                <w:szCs w:val="18"/>
              </w:rPr>
              <w:tab/>
              <w:t>Su corriente máxima de interrupción;</w:t>
            </w:r>
          </w:p>
          <w:p w:rsidR="00B246F4" w:rsidRPr="00187A8D" w:rsidRDefault="00B246F4" w:rsidP="00C56A1A">
            <w:pPr>
              <w:pStyle w:val="Texto"/>
              <w:tabs>
                <w:tab w:val="left" w:pos="396"/>
              </w:tabs>
              <w:spacing w:line="320" w:lineRule="exact"/>
              <w:ind w:left="396" w:hanging="396"/>
              <w:rPr>
                <w:szCs w:val="18"/>
              </w:rPr>
            </w:pPr>
            <w:r w:rsidRPr="00187A8D">
              <w:rPr>
                <w:szCs w:val="18"/>
              </w:rPr>
              <w:t>6)</w:t>
            </w:r>
            <w:r w:rsidRPr="00187A8D">
              <w:rPr>
                <w:szCs w:val="18"/>
              </w:rPr>
              <w:tab/>
              <w:t>Sus características de la corriente de limitación y sus características I2t; y</w:t>
            </w:r>
          </w:p>
          <w:p w:rsidR="00B246F4" w:rsidRPr="00187A8D" w:rsidRDefault="00B246F4" w:rsidP="00C56A1A">
            <w:pPr>
              <w:pStyle w:val="Texto"/>
              <w:tabs>
                <w:tab w:val="left" w:pos="396"/>
              </w:tabs>
              <w:spacing w:line="320" w:lineRule="exact"/>
              <w:ind w:left="396" w:hanging="396"/>
              <w:rPr>
                <w:szCs w:val="18"/>
              </w:rPr>
            </w:pPr>
            <w:r w:rsidRPr="00187A8D">
              <w:rPr>
                <w:szCs w:val="18"/>
              </w:rPr>
              <w:t>7)</w:t>
            </w:r>
            <w:r w:rsidRPr="00187A8D">
              <w:rPr>
                <w:szCs w:val="18"/>
              </w:rPr>
              <w:tab/>
              <w:t>Sus características de tensión de arco.</w:t>
            </w:r>
          </w:p>
          <w:p w:rsidR="00B246F4" w:rsidRPr="00187A8D" w:rsidRDefault="00B246F4" w:rsidP="00C56A1A">
            <w:pPr>
              <w:pStyle w:val="Texto"/>
              <w:tabs>
                <w:tab w:val="left" w:pos="396"/>
              </w:tabs>
              <w:spacing w:line="320" w:lineRule="exact"/>
              <w:ind w:left="396" w:hanging="396"/>
              <w:rPr>
                <w:szCs w:val="18"/>
              </w:rPr>
            </w:pPr>
            <w:r w:rsidRPr="00187A8D">
              <w:rPr>
                <w:szCs w:val="18"/>
              </w:rPr>
              <w:t>b)</w:t>
            </w:r>
            <w:r w:rsidRPr="00187A8D">
              <w:rPr>
                <w:szCs w:val="18"/>
              </w:rPr>
              <w:tab/>
              <w:t>Pruebas tipo para la comprobación de las características de los CCF;</w:t>
            </w:r>
          </w:p>
          <w:p w:rsidR="00B246F4" w:rsidRPr="00187A8D" w:rsidRDefault="00B246F4" w:rsidP="00C56A1A">
            <w:pPr>
              <w:pStyle w:val="Texto"/>
              <w:tabs>
                <w:tab w:val="left" w:pos="396"/>
              </w:tabs>
              <w:spacing w:line="320" w:lineRule="exact"/>
              <w:ind w:left="396" w:hanging="396"/>
              <w:rPr>
                <w:szCs w:val="18"/>
              </w:rPr>
            </w:pPr>
            <w:r w:rsidRPr="00187A8D">
              <w:rPr>
                <w:szCs w:val="18"/>
              </w:rPr>
              <w:t>c)</w:t>
            </w:r>
            <w:r w:rsidRPr="00187A8D">
              <w:rPr>
                <w:szCs w:val="18"/>
              </w:rPr>
              <w:tab/>
              <w:t>El marcado de los CCF; y</w:t>
            </w:r>
          </w:p>
          <w:p w:rsidR="00B246F4" w:rsidRPr="00187A8D" w:rsidRDefault="00B246F4" w:rsidP="00C56A1A">
            <w:pPr>
              <w:pStyle w:val="Texto"/>
              <w:tabs>
                <w:tab w:val="left" w:pos="396"/>
              </w:tabs>
              <w:spacing w:line="320" w:lineRule="exact"/>
              <w:ind w:left="396" w:hanging="396"/>
              <w:rPr>
                <w:szCs w:val="18"/>
                <w:highlight w:val="yellow"/>
              </w:rPr>
            </w:pPr>
            <w:r w:rsidRPr="00187A8D">
              <w:rPr>
                <w:szCs w:val="18"/>
              </w:rPr>
              <w:t>d)</w:t>
            </w:r>
            <w:r w:rsidRPr="00187A8D">
              <w:rPr>
                <w:szCs w:val="18"/>
              </w:rPr>
              <w:tab/>
              <w:t>Disponibilidad y presentación de datos técnicos.</w:t>
            </w:r>
          </w:p>
        </w:tc>
      </w:tr>
    </w:tbl>
    <w:p w:rsidR="00B246F4" w:rsidRPr="007613B8" w:rsidRDefault="00B246F4" w:rsidP="00B246F4">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712"/>
      </w:tblGrid>
      <w:tr w:rsidR="00B246F4" w:rsidRPr="00187A8D" w:rsidTr="00C56A1A">
        <w:trPr>
          <w:trHeight w:val="1302"/>
        </w:trPr>
        <w:tc>
          <w:tcPr>
            <w:tcW w:w="8712" w:type="dxa"/>
            <w:vAlign w:val="center"/>
          </w:tcPr>
          <w:p w:rsidR="00B246F4" w:rsidRPr="00187A8D" w:rsidRDefault="00B246F4" w:rsidP="00C56A1A">
            <w:pPr>
              <w:pStyle w:val="Texto"/>
              <w:spacing w:line="302" w:lineRule="exact"/>
              <w:ind w:firstLine="0"/>
              <w:jc w:val="center"/>
              <w:rPr>
                <w:b/>
                <w:szCs w:val="18"/>
                <w:lang w:val="es-MX"/>
              </w:rPr>
            </w:pPr>
            <w:r w:rsidRPr="00187A8D">
              <w:rPr>
                <w:b/>
                <w:szCs w:val="18"/>
                <w:lang w:val="es-MX"/>
              </w:rPr>
              <w:t>Concordancia con Normas Internacionales</w:t>
            </w:r>
          </w:p>
          <w:p w:rsidR="00B246F4" w:rsidRPr="00187A8D" w:rsidRDefault="00B246F4" w:rsidP="00C56A1A">
            <w:pPr>
              <w:pStyle w:val="Texto"/>
              <w:spacing w:line="302" w:lineRule="exact"/>
              <w:ind w:firstLine="0"/>
              <w:rPr>
                <w:szCs w:val="18"/>
              </w:rPr>
            </w:pPr>
            <w:r w:rsidRPr="00187A8D">
              <w:rPr>
                <w:szCs w:val="18"/>
              </w:rPr>
              <w:t>Esta NMX-J-269-4-ANCE-2018, Cortacircuitos-fusibles para baja tensión</w:t>
            </w:r>
            <w:r>
              <w:rPr>
                <w:szCs w:val="18"/>
              </w:rPr>
              <w:t>-</w:t>
            </w:r>
            <w:r w:rsidRPr="00187A8D">
              <w:rPr>
                <w:szCs w:val="18"/>
              </w:rPr>
              <w:t>Parte 4: Requisitos complementarios para fusibles destinados para la protección de dispositivos semiconductores, tiene concordancia MODIFICADA con la Norma Internacional IEC 60269-4, Low-</w:t>
            </w:r>
            <w:proofErr w:type="spellStart"/>
            <w:r w:rsidRPr="00187A8D">
              <w:rPr>
                <w:szCs w:val="18"/>
              </w:rPr>
              <w:t>voltage</w:t>
            </w:r>
            <w:proofErr w:type="spellEnd"/>
            <w:r w:rsidRPr="00187A8D">
              <w:rPr>
                <w:szCs w:val="18"/>
              </w:rPr>
              <w:t xml:space="preserve"> fuses</w:t>
            </w:r>
            <w:r>
              <w:rPr>
                <w:szCs w:val="18"/>
              </w:rPr>
              <w:t>-</w:t>
            </w:r>
            <w:proofErr w:type="spellStart"/>
            <w:r w:rsidRPr="00187A8D">
              <w:rPr>
                <w:szCs w:val="18"/>
              </w:rPr>
              <w:t>Part</w:t>
            </w:r>
            <w:proofErr w:type="spellEnd"/>
            <w:r w:rsidRPr="00187A8D">
              <w:rPr>
                <w:szCs w:val="18"/>
              </w:rPr>
              <w:t xml:space="preserve"> 4: </w:t>
            </w:r>
            <w:proofErr w:type="spellStart"/>
            <w:r w:rsidRPr="00187A8D">
              <w:rPr>
                <w:szCs w:val="18"/>
              </w:rPr>
              <w:t>Supplementary</w:t>
            </w:r>
            <w:proofErr w:type="spellEnd"/>
            <w:r w:rsidRPr="00187A8D">
              <w:rPr>
                <w:szCs w:val="18"/>
              </w:rPr>
              <w:t xml:space="preserve"> </w:t>
            </w:r>
            <w:proofErr w:type="spellStart"/>
            <w:r w:rsidRPr="00187A8D">
              <w:rPr>
                <w:szCs w:val="18"/>
              </w:rPr>
              <w:t>requirements</w:t>
            </w:r>
            <w:proofErr w:type="spellEnd"/>
            <w:r w:rsidRPr="00187A8D">
              <w:rPr>
                <w:szCs w:val="18"/>
              </w:rPr>
              <w:t xml:space="preserve"> </w:t>
            </w:r>
            <w:proofErr w:type="spellStart"/>
            <w:r w:rsidRPr="00187A8D">
              <w:rPr>
                <w:szCs w:val="18"/>
              </w:rPr>
              <w:t>for</w:t>
            </w:r>
            <w:proofErr w:type="spellEnd"/>
            <w:r w:rsidRPr="00187A8D">
              <w:rPr>
                <w:szCs w:val="18"/>
              </w:rPr>
              <w:t xml:space="preserve"> fuse-links </w:t>
            </w:r>
            <w:proofErr w:type="spellStart"/>
            <w:r w:rsidRPr="00187A8D">
              <w:rPr>
                <w:szCs w:val="18"/>
              </w:rPr>
              <w:t>for</w:t>
            </w:r>
            <w:proofErr w:type="spellEnd"/>
            <w:r w:rsidRPr="00187A8D">
              <w:rPr>
                <w:szCs w:val="18"/>
              </w:rPr>
              <w:t xml:space="preserve"> </w:t>
            </w:r>
            <w:proofErr w:type="spellStart"/>
            <w:r w:rsidRPr="00187A8D">
              <w:rPr>
                <w:szCs w:val="18"/>
              </w:rPr>
              <w:t>the</w:t>
            </w:r>
            <w:proofErr w:type="spellEnd"/>
            <w:r w:rsidRPr="00187A8D">
              <w:rPr>
                <w:szCs w:val="18"/>
              </w:rPr>
              <w:t xml:space="preserve"> </w:t>
            </w:r>
            <w:proofErr w:type="spellStart"/>
            <w:r w:rsidRPr="00187A8D">
              <w:rPr>
                <w:szCs w:val="18"/>
              </w:rPr>
              <w:t>protection</w:t>
            </w:r>
            <w:proofErr w:type="spellEnd"/>
            <w:r w:rsidRPr="00187A8D">
              <w:rPr>
                <w:szCs w:val="18"/>
              </w:rPr>
              <w:t xml:space="preserve"> </w:t>
            </w:r>
            <w:proofErr w:type="spellStart"/>
            <w:r w:rsidRPr="00187A8D">
              <w:rPr>
                <w:szCs w:val="18"/>
              </w:rPr>
              <w:t>of</w:t>
            </w:r>
            <w:proofErr w:type="spellEnd"/>
            <w:r w:rsidRPr="00187A8D">
              <w:rPr>
                <w:szCs w:val="18"/>
              </w:rPr>
              <w:t xml:space="preserve"> semiconductor </w:t>
            </w:r>
            <w:proofErr w:type="spellStart"/>
            <w:r w:rsidRPr="00187A8D">
              <w:rPr>
                <w:szCs w:val="18"/>
              </w:rPr>
              <w:t>devices</w:t>
            </w:r>
            <w:proofErr w:type="spellEnd"/>
            <w:r w:rsidRPr="00187A8D">
              <w:rPr>
                <w:szCs w:val="18"/>
              </w:rPr>
              <w:t>, ed5.2 (2016-08) y difiere en los puntos siguientes:</w:t>
            </w:r>
          </w:p>
          <w:p w:rsidR="00B246F4" w:rsidRPr="00187A8D" w:rsidRDefault="00B246F4" w:rsidP="00C56A1A">
            <w:pPr>
              <w:pStyle w:val="Texto"/>
              <w:spacing w:line="302" w:lineRule="exact"/>
              <w:ind w:firstLine="0"/>
              <w:rPr>
                <w:szCs w:val="1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4A0" w:firstRow="1" w:lastRow="0" w:firstColumn="1" w:lastColumn="0" w:noHBand="0" w:noVBand="1"/>
            </w:tblPr>
            <w:tblGrid>
              <w:gridCol w:w="2978"/>
              <w:gridCol w:w="5546"/>
            </w:tblGrid>
            <w:tr w:rsidR="00B246F4" w:rsidRPr="00187A8D" w:rsidTr="00C56A1A">
              <w:trPr>
                <w:trHeight w:val="468"/>
                <w:jc w:val="center"/>
              </w:trPr>
              <w:tc>
                <w:tcPr>
                  <w:tcW w:w="2978" w:type="dxa"/>
                  <w:tcBorders>
                    <w:bottom w:val="double" w:sz="4" w:space="0" w:color="auto"/>
                  </w:tcBorders>
                  <w:vAlign w:val="center"/>
                </w:tcPr>
                <w:p w:rsidR="00B246F4" w:rsidRPr="00187A8D" w:rsidRDefault="00B246F4" w:rsidP="00C56A1A">
                  <w:pPr>
                    <w:pStyle w:val="Texto"/>
                    <w:spacing w:line="302" w:lineRule="exact"/>
                    <w:ind w:firstLine="0"/>
                    <w:jc w:val="center"/>
                    <w:rPr>
                      <w:b/>
                      <w:szCs w:val="18"/>
                    </w:rPr>
                  </w:pPr>
                  <w:r w:rsidRPr="00187A8D">
                    <w:rPr>
                      <w:b/>
                      <w:szCs w:val="18"/>
                    </w:rPr>
                    <w:t>Capítulo / Inciso al que aplica la diferencia</w:t>
                  </w:r>
                </w:p>
              </w:tc>
              <w:tc>
                <w:tcPr>
                  <w:tcW w:w="5546" w:type="dxa"/>
                  <w:tcBorders>
                    <w:bottom w:val="double" w:sz="4" w:space="0" w:color="auto"/>
                  </w:tcBorders>
                  <w:vAlign w:val="center"/>
                </w:tcPr>
                <w:p w:rsidR="00B246F4" w:rsidRPr="00187A8D" w:rsidRDefault="00B246F4" w:rsidP="00C56A1A">
                  <w:pPr>
                    <w:pStyle w:val="Texto"/>
                    <w:spacing w:line="302" w:lineRule="exact"/>
                    <w:ind w:firstLine="0"/>
                    <w:jc w:val="center"/>
                    <w:rPr>
                      <w:b/>
                      <w:szCs w:val="18"/>
                    </w:rPr>
                  </w:pPr>
                  <w:r w:rsidRPr="00187A8D">
                    <w:rPr>
                      <w:b/>
                      <w:szCs w:val="18"/>
                    </w:rPr>
                    <w:t>Desviación Técnica / Justificación</w:t>
                  </w:r>
                </w:p>
              </w:tc>
            </w:tr>
            <w:tr w:rsidR="00B246F4" w:rsidRPr="00187A8D" w:rsidTr="00C56A1A">
              <w:trPr>
                <w:trHeight w:val="18"/>
                <w:jc w:val="center"/>
              </w:trPr>
              <w:tc>
                <w:tcPr>
                  <w:tcW w:w="2978" w:type="dxa"/>
                  <w:tcBorders>
                    <w:bottom w:val="single" w:sz="4" w:space="0" w:color="auto"/>
                  </w:tcBorders>
                  <w:vAlign w:val="center"/>
                </w:tcPr>
                <w:p w:rsidR="00B246F4" w:rsidRPr="00187A8D" w:rsidRDefault="00B246F4" w:rsidP="00C56A1A">
                  <w:pPr>
                    <w:pStyle w:val="Texto"/>
                    <w:spacing w:line="302" w:lineRule="exact"/>
                    <w:ind w:firstLine="0"/>
                    <w:rPr>
                      <w:szCs w:val="18"/>
                    </w:rPr>
                  </w:pPr>
                  <w:r w:rsidRPr="00187A8D">
                    <w:rPr>
                      <w:szCs w:val="18"/>
                    </w:rPr>
                    <w:t>1, 5, 5.1.2, 5.2, 6, 7, 8, CC.2.2, CC.3.3, CC.4.2, CC.5.3, CC.6.2, CC.7.2 y CC.8.3.</w:t>
                  </w:r>
                </w:p>
              </w:tc>
              <w:tc>
                <w:tcPr>
                  <w:tcW w:w="5546" w:type="dxa"/>
                  <w:tcBorders>
                    <w:bottom w:val="single" w:sz="4" w:space="0" w:color="auto"/>
                  </w:tcBorders>
                  <w:vAlign w:val="center"/>
                </w:tcPr>
                <w:p w:rsidR="00B246F4" w:rsidRPr="00187A8D" w:rsidRDefault="00B246F4" w:rsidP="00C56A1A">
                  <w:pPr>
                    <w:pStyle w:val="Texto"/>
                    <w:spacing w:line="302" w:lineRule="exact"/>
                    <w:ind w:firstLine="0"/>
                    <w:rPr>
                      <w:szCs w:val="18"/>
                    </w:rPr>
                  </w:pPr>
                  <w:r w:rsidRPr="00187A8D">
                    <w:rPr>
                      <w:szCs w:val="18"/>
                    </w:rPr>
                    <w:t>Para esta Norma Mexicana se reemplaza la referencia a la Norma Internacional IEC 60269-1 por la Norma Mexicana NMX-J-269-1-ANCE-2017, lo anterior con objeto de cumplir con lo que se indica en la fracción IV del artículo 28 del Reglamento de la Ley Federal sobre Metrología y Normalización, haciendo referencia a las Normas Mexicanas que se relacionan.</w:t>
                  </w:r>
                </w:p>
              </w:tc>
            </w:tr>
            <w:tr w:rsidR="00B246F4" w:rsidRPr="00187A8D" w:rsidTr="00C56A1A">
              <w:trPr>
                <w:trHeight w:val="18"/>
                <w:jc w:val="center"/>
              </w:trPr>
              <w:tc>
                <w:tcPr>
                  <w:tcW w:w="2978" w:type="dxa"/>
                  <w:tcBorders>
                    <w:top w:val="single" w:sz="4" w:space="0" w:color="auto"/>
                    <w:bottom w:val="double" w:sz="4" w:space="0" w:color="auto"/>
                  </w:tcBorders>
                  <w:vAlign w:val="center"/>
                </w:tcPr>
                <w:p w:rsidR="00B246F4" w:rsidRPr="00187A8D" w:rsidRDefault="00B246F4" w:rsidP="00C56A1A">
                  <w:pPr>
                    <w:pStyle w:val="Texto"/>
                    <w:spacing w:line="302" w:lineRule="exact"/>
                    <w:ind w:firstLine="0"/>
                    <w:rPr>
                      <w:szCs w:val="18"/>
                    </w:rPr>
                  </w:pPr>
                  <w:r w:rsidRPr="00187A8D">
                    <w:rPr>
                      <w:szCs w:val="18"/>
                    </w:rPr>
                    <w:t>Figura CC.9.</w:t>
                  </w:r>
                </w:p>
              </w:tc>
              <w:tc>
                <w:tcPr>
                  <w:tcW w:w="5546" w:type="dxa"/>
                  <w:tcBorders>
                    <w:top w:val="single" w:sz="4" w:space="0" w:color="auto"/>
                    <w:bottom w:val="double" w:sz="4" w:space="0" w:color="auto"/>
                  </w:tcBorders>
                  <w:vAlign w:val="center"/>
                </w:tcPr>
                <w:p w:rsidR="00B246F4" w:rsidRPr="00187A8D" w:rsidRDefault="00B246F4" w:rsidP="00C56A1A">
                  <w:pPr>
                    <w:pStyle w:val="Texto"/>
                    <w:spacing w:line="302" w:lineRule="exact"/>
                    <w:ind w:firstLine="0"/>
                    <w:rPr>
                      <w:szCs w:val="18"/>
                    </w:rPr>
                  </w:pPr>
                  <w:r w:rsidRPr="00187A8D">
                    <w:rPr>
                      <w:szCs w:val="18"/>
                    </w:rPr>
                    <w:t>Para esta Norma Mexicana los valores de las roscas se indican en milímetros, en lugar de pulgadas. Lo anterior debido a que son unidades establecidas en la NOM-008-SCFI-2002.</w:t>
                  </w:r>
                </w:p>
              </w:tc>
            </w:tr>
            <w:tr w:rsidR="00B246F4" w:rsidRPr="00187A8D" w:rsidTr="00C56A1A">
              <w:trPr>
                <w:trHeight w:val="18"/>
                <w:jc w:val="center"/>
              </w:trPr>
              <w:tc>
                <w:tcPr>
                  <w:tcW w:w="2978" w:type="dxa"/>
                  <w:tcBorders>
                    <w:top w:val="double" w:sz="4" w:space="0" w:color="auto"/>
                    <w:left w:val="nil"/>
                    <w:bottom w:val="nil"/>
                    <w:right w:val="nil"/>
                  </w:tcBorders>
                  <w:vAlign w:val="center"/>
                </w:tcPr>
                <w:p w:rsidR="00B246F4" w:rsidRPr="00187A8D" w:rsidRDefault="00B246F4" w:rsidP="00C56A1A">
                  <w:pPr>
                    <w:pStyle w:val="Texto"/>
                    <w:spacing w:line="302" w:lineRule="exact"/>
                    <w:ind w:firstLine="0"/>
                    <w:rPr>
                      <w:szCs w:val="18"/>
                    </w:rPr>
                  </w:pPr>
                </w:p>
              </w:tc>
              <w:tc>
                <w:tcPr>
                  <w:tcW w:w="5546" w:type="dxa"/>
                  <w:tcBorders>
                    <w:top w:val="double" w:sz="4" w:space="0" w:color="auto"/>
                    <w:left w:val="nil"/>
                    <w:bottom w:val="nil"/>
                    <w:right w:val="nil"/>
                  </w:tcBorders>
                  <w:vAlign w:val="center"/>
                </w:tcPr>
                <w:p w:rsidR="00B246F4" w:rsidRPr="00187A8D" w:rsidRDefault="00B246F4" w:rsidP="00C56A1A">
                  <w:pPr>
                    <w:pStyle w:val="Texto"/>
                    <w:spacing w:line="302" w:lineRule="exact"/>
                    <w:ind w:firstLine="0"/>
                    <w:rPr>
                      <w:szCs w:val="18"/>
                    </w:rPr>
                  </w:pPr>
                </w:p>
              </w:tc>
            </w:tr>
          </w:tbl>
          <w:p w:rsidR="00B246F4" w:rsidRPr="00187A8D" w:rsidRDefault="00B246F4" w:rsidP="00C56A1A">
            <w:pPr>
              <w:pStyle w:val="Texto"/>
              <w:spacing w:line="302" w:lineRule="exact"/>
              <w:ind w:firstLine="0"/>
              <w:rPr>
                <w:b/>
                <w:szCs w:val="18"/>
                <w:highlight w:val="yellow"/>
                <w:lang w:val="es-ES_tradnl"/>
              </w:rPr>
            </w:pPr>
          </w:p>
        </w:tc>
      </w:tr>
      <w:tr w:rsidR="00B246F4" w:rsidRPr="00187A8D" w:rsidTr="00C56A1A">
        <w:trPr>
          <w:trHeight w:val="1116"/>
        </w:trPr>
        <w:tc>
          <w:tcPr>
            <w:tcW w:w="8712" w:type="dxa"/>
            <w:vAlign w:val="center"/>
          </w:tcPr>
          <w:p w:rsidR="00B246F4" w:rsidRPr="00187A8D" w:rsidRDefault="00B246F4" w:rsidP="00C56A1A">
            <w:pPr>
              <w:pStyle w:val="Texto"/>
              <w:spacing w:line="302" w:lineRule="exact"/>
              <w:ind w:firstLine="0"/>
              <w:jc w:val="center"/>
              <w:rPr>
                <w:b/>
                <w:szCs w:val="18"/>
                <w:lang w:val="en-US"/>
              </w:rPr>
            </w:pPr>
            <w:proofErr w:type="spellStart"/>
            <w:r w:rsidRPr="00187A8D">
              <w:rPr>
                <w:b/>
                <w:szCs w:val="18"/>
                <w:lang w:val="en-US"/>
              </w:rPr>
              <w:t>Bibliografía</w:t>
            </w:r>
            <w:proofErr w:type="spellEnd"/>
          </w:p>
          <w:p w:rsidR="00B246F4" w:rsidRPr="00187A8D" w:rsidRDefault="00B246F4" w:rsidP="00C56A1A">
            <w:pPr>
              <w:pStyle w:val="Texto"/>
              <w:spacing w:line="302" w:lineRule="exact"/>
              <w:ind w:left="396" w:hanging="396"/>
              <w:rPr>
                <w:szCs w:val="18"/>
                <w:highlight w:val="yellow"/>
                <w:lang w:val="en-US"/>
              </w:rPr>
            </w:pPr>
            <w:r w:rsidRPr="00187A8D">
              <w:rPr>
                <w:szCs w:val="18"/>
                <w:lang w:val="en-US"/>
              </w:rPr>
              <w:t>•</w:t>
            </w:r>
            <w:r w:rsidRPr="00187A8D">
              <w:rPr>
                <w:szCs w:val="18"/>
                <w:lang w:val="en-US"/>
              </w:rPr>
              <w:tab/>
              <w:t>IEC 60269-4 ed5.2 (2016-08), Low-voltage fuses</w:t>
            </w:r>
            <w:r>
              <w:rPr>
                <w:szCs w:val="18"/>
                <w:lang w:val="en-US"/>
              </w:rPr>
              <w:t>-</w:t>
            </w:r>
            <w:r w:rsidRPr="00187A8D">
              <w:rPr>
                <w:szCs w:val="18"/>
                <w:lang w:val="en-US"/>
              </w:rPr>
              <w:t>Part 4: Supplementary requirements for fuse-links for the protection of semiconductor devices.</w:t>
            </w:r>
          </w:p>
        </w:tc>
      </w:tr>
    </w:tbl>
    <w:p w:rsidR="00B246F4" w:rsidRPr="00187A8D" w:rsidRDefault="00B246F4" w:rsidP="00B246F4">
      <w:pPr>
        <w:pStyle w:val="Texto"/>
        <w:spacing w:line="302" w:lineRule="exact"/>
        <w:rPr>
          <w:bCs/>
          <w:szCs w:val="18"/>
          <w:lang w:val="en-US"/>
        </w:rPr>
      </w:pPr>
    </w:p>
    <w:p w:rsidR="00B246F4" w:rsidRPr="00060E44" w:rsidRDefault="00B246F4" w:rsidP="00B246F4">
      <w:pPr>
        <w:pStyle w:val="Texto"/>
        <w:spacing w:line="302" w:lineRule="exact"/>
        <w:rPr>
          <w:bCs/>
          <w:szCs w:val="18"/>
          <w:lang w:val="es-MX"/>
        </w:rPr>
      </w:pPr>
      <w:r>
        <w:rPr>
          <w:bCs/>
          <w:szCs w:val="18"/>
          <w:lang w:val="es-MX"/>
        </w:rPr>
        <w:lastRenderedPageBreak/>
        <w:t>Atentamente</w:t>
      </w:r>
    </w:p>
    <w:p w:rsidR="00B246F4" w:rsidRDefault="00B246F4" w:rsidP="00B246F4">
      <w:pPr>
        <w:pStyle w:val="Texto"/>
        <w:spacing w:line="302" w:lineRule="exact"/>
        <w:rPr>
          <w:bCs/>
          <w:szCs w:val="18"/>
          <w:lang w:val="es-MX"/>
        </w:rPr>
      </w:pPr>
      <w:r w:rsidRPr="00187A8D">
        <w:rPr>
          <w:bCs/>
          <w:szCs w:val="18"/>
          <w:lang w:val="es-MX"/>
        </w:rPr>
        <w:t>Ciudad de México, a 17 de septiembre de 2018</w:t>
      </w:r>
      <w:r>
        <w:rPr>
          <w:bCs/>
          <w:szCs w:val="18"/>
          <w:lang w:val="es-MX"/>
        </w:rPr>
        <w:t xml:space="preserve">.- El </w:t>
      </w:r>
      <w:r w:rsidRPr="00060E44">
        <w:rPr>
          <w:bCs/>
          <w:szCs w:val="18"/>
          <w:lang w:val="es-MX"/>
        </w:rPr>
        <w:t>Director General de Normas y Secretariado Técnico de la Comisión Nacional 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B246F4" w:rsidRDefault="00B246F4"/>
    <w:sectPr w:rsidR="00B246F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27" w:rsidRDefault="00000227" w:rsidP="00B246F4">
      <w:r>
        <w:separator/>
      </w:r>
    </w:p>
  </w:endnote>
  <w:endnote w:type="continuationSeparator" w:id="0">
    <w:p w:rsidR="00000227" w:rsidRDefault="00000227" w:rsidP="00B2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27" w:rsidRDefault="00000227" w:rsidP="00B246F4">
      <w:r>
        <w:separator/>
      </w:r>
    </w:p>
  </w:footnote>
  <w:footnote w:type="continuationSeparator" w:id="0">
    <w:p w:rsidR="00000227" w:rsidRDefault="00000227" w:rsidP="00B2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6F4" w:rsidRPr="00F63670" w:rsidRDefault="00B246F4" w:rsidP="00B246F4">
    <w:pPr>
      <w:pStyle w:val="Fechas"/>
      <w:rPr>
        <w:rFonts w:cs="Times New Roman"/>
      </w:rPr>
    </w:pPr>
    <w:bookmarkStart w:id="2" w:name="_Hlk536594018"/>
    <w:bookmarkStart w:id="3" w:name="_Hlk536594019"/>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bookmarkEnd w:id="2"/>
    <w:bookmarkEnd w:id="3"/>
  </w:p>
  <w:p w:rsidR="00B246F4" w:rsidRDefault="00B246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F4"/>
    <w:rsid w:val="00000227"/>
    <w:rsid w:val="00B24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4166"/>
  <w15:chartTrackingRefBased/>
  <w15:docId w15:val="{F22B262F-585A-4FA3-98BA-9EBAA306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F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246F4"/>
    <w:pPr>
      <w:spacing w:after="101" w:line="216" w:lineRule="exact"/>
      <w:ind w:firstLine="288"/>
      <w:jc w:val="both"/>
    </w:pPr>
    <w:rPr>
      <w:rFonts w:ascii="Arial" w:hAnsi="Arial" w:cs="Arial"/>
      <w:sz w:val="18"/>
      <w:szCs w:val="20"/>
    </w:rPr>
  </w:style>
  <w:style w:type="paragraph" w:customStyle="1" w:styleId="Titulo1">
    <w:name w:val="Titulo 1"/>
    <w:basedOn w:val="Texto"/>
    <w:rsid w:val="00B246F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246F4"/>
    <w:pPr>
      <w:pBdr>
        <w:top w:val="double" w:sz="6" w:space="1" w:color="auto"/>
      </w:pBdr>
      <w:spacing w:line="240" w:lineRule="auto"/>
      <w:ind w:firstLine="0"/>
      <w:outlineLvl w:val="1"/>
    </w:pPr>
    <w:rPr>
      <w:lang w:val="es-MX"/>
    </w:rPr>
  </w:style>
  <w:style w:type="character" w:customStyle="1" w:styleId="TextoCar">
    <w:name w:val="Texto Car"/>
    <w:link w:val="Texto"/>
    <w:locked/>
    <w:rsid w:val="00B246F4"/>
    <w:rPr>
      <w:rFonts w:ascii="Arial" w:eastAsia="Times New Roman" w:hAnsi="Arial" w:cs="Arial"/>
      <w:sz w:val="18"/>
      <w:szCs w:val="20"/>
      <w:lang w:val="es-ES" w:eastAsia="es-ES"/>
    </w:rPr>
  </w:style>
  <w:style w:type="paragraph" w:customStyle="1" w:styleId="CABEZA">
    <w:name w:val="CABEZA"/>
    <w:basedOn w:val="Normal"/>
    <w:rsid w:val="00B246F4"/>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B246F4"/>
    <w:pPr>
      <w:tabs>
        <w:tab w:val="center" w:pos="4419"/>
        <w:tab w:val="right" w:pos="8838"/>
      </w:tabs>
    </w:pPr>
  </w:style>
  <w:style w:type="character" w:customStyle="1" w:styleId="EncabezadoCar">
    <w:name w:val="Encabezado Car"/>
    <w:basedOn w:val="Fuentedeprrafopredeter"/>
    <w:link w:val="Encabezado"/>
    <w:uiPriority w:val="99"/>
    <w:rsid w:val="00B246F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46F4"/>
    <w:pPr>
      <w:tabs>
        <w:tab w:val="center" w:pos="4419"/>
        <w:tab w:val="right" w:pos="8838"/>
      </w:tabs>
    </w:pPr>
  </w:style>
  <w:style w:type="character" w:customStyle="1" w:styleId="PiedepginaCar">
    <w:name w:val="Pie de página Car"/>
    <w:basedOn w:val="Fuentedeprrafopredeter"/>
    <w:link w:val="Piedepgina"/>
    <w:uiPriority w:val="99"/>
    <w:rsid w:val="00B246F4"/>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B246F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4390</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2019-01-30T12:55:00Z</dcterms:created>
  <dcterms:modified xsi:type="dcterms:W3CDTF">2019-01-30T12:56:00Z</dcterms:modified>
</cp:coreProperties>
</file>